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 xml:space="preserve">омиссии от 16 </w:t>
      </w:r>
      <w:r>
        <w:rPr>
          <w:b w:val="1"/>
          <w:sz w:val="28"/>
        </w:rPr>
        <w:t>июля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16 июля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рассмотрены вопросы</w:t>
      </w:r>
      <w:r>
        <w:rPr>
          <w:sz w:val="28"/>
        </w:rPr>
        <w:t>:</w:t>
      </w:r>
    </w:p>
    <w:p w14:paraId="05000000">
      <w:pPr>
        <w:ind/>
        <w:jc w:val="both"/>
        <w:rPr>
          <w:sz w:val="28"/>
        </w:rPr>
      </w:pPr>
      <w:r>
        <w:rPr>
          <w:sz w:val="28"/>
        </w:rPr>
        <w:t xml:space="preserve">  1.О мероприятиях направленных на реализацию Методических рекомендациях, подготовленных Министерством труда и социальной защиты Российской Федерации для организации работы, направленной на выявление личной заинтересованности государственных служащих при исполнении ими обязанностей, связанных с осуществлением закупочных процедур, которая приводит или может привести к конфликту интересов.</w:t>
      </w:r>
    </w:p>
    <w:p w14:paraId="06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2. О</w:t>
      </w:r>
      <w:r>
        <w:rPr>
          <w:rFonts w:ascii="Times New Roman CYR" w:hAnsi="Times New Roman CYR"/>
          <w:sz w:val="30"/>
        </w:rPr>
        <w:t xml:space="preserve">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ий</w:t>
      </w:r>
      <w:r>
        <w:rPr>
          <w:rFonts w:ascii="Times New Roman CYR" w:hAnsi="Times New Roman CYR"/>
          <w:sz w:val="30"/>
        </w:rPr>
        <w:t xml:space="preserve"> об иной оплачиваемой работе, поступивш</w:t>
      </w:r>
      <w:r>
        <w:rPr>
          <w:rFonts w:ascii="Times New Roman CYR" w:hAnsi="Times New Roman CYR"/>
          <w:sz w:val="30"/>
        </w:rPr>
        <w:t>его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государственн</w:t>
      </w:r>
      <w:r>
        <w:rPr>
          <w:sz w:val="28"/>
        </w:rPr>
        <w:t>ого</w:t>
      </w:r>
      <w:r>
        <w:rPr>
          <w:sz w:val="28"/>
        </w:rPr>
        <w:t xml:space="preserve"> гражданск</w:t>
      </w:r>
      <w:r>
        <w:rPr>
          <w:sz w:val="28"/>
        </w:rPr>
        <w:t>ого</w:t>
      </w:r>
      <w:r>
        <w:rPr>
          <w:sz w:val="28"/>
        </w:rPr>
        <w:t xml:space="preserve"> служащ</w:t>
      </w:r>
      <w:r>
        <w:rPr>
          <w:sz w:val="28"/>
        </w:rPr>
        <w:t xml:space="preserve">его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7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8000000">
      <w:pPr>
        <w:ind w:firstLine="709"/>
        <w:jc w:val="both"/>
        <w:rPr>
          <w:b w:val="1"/>
          <w:sz w:val="28"/>
        </w:rPr>
      </w:pPr>
      <w:r>
        <w:rPr>
          <w:b w:val="0"/>
          <w:sz w:val="28"/>
        </w:rPr>
        <w:t>1</w:t>
      </w:r>
      <w:r>
        <w:rPr>
          <w:b w:val="0"/>
          <w:sz w:val="28"/>
        </w:rPr>
        <w:t>.</w:t>
      </w:r>
      <w:r>
        <w:rPr>
          <w:sz w:val="28"/>
        </w:rPr>
        <w:t>Принять к сведению Методические рекомендации.</w:t>
      </w:r>
    </w:p>
    <w:p w14:paraId="09000000">
      <w:pPr>
        <w:tabs>
          <w:tab w:leader="none" w:pos="5529" w:val="left"/>
        </w:tabs>
        <w:ind/>
        <w:jc w:val="both"/>
        <w:rPr>
          <w:sz w:val="28"/>
        </w:rPr>
      </w:pPr>
      <w:r>
        <w:rPr>
          <w:sz w:val="28"/>
        </w:rPr>
        <w:t xml:space="preserve">      Ознакомить с Методическими рекомендациями начальников структурных подразделений, а также лиц, осуществляющих функции, связанные с обеспечением закупок для государственных нужд Забайкалкрайстата.</w:t>
      </w:r>
    </w:p>
    <w:p w14:paraId="0A000000">
      <w:pPr>
        <w:tabs>
          <w:tab w:leader="none" w:pos="5529" w:val="left"/>
        </w:tabs>
        <w:ind/>
        <w:jc w:val="both"/>
        <w:rPr>
          <w:sz w:val="28"/>
        </w:rPr>
      </w:pPr>
      <w:r>
        <w:rPr>
          <w:sz w:val="28"/>
        </w:rPr>
        <w:t xml:space="preserve">       Ознакомить государственных служащих, задействованных в закупочных процедурах о незамедлительном уведомлении в случае возникновения или возможного возникновения личной заинтересованности при осуществлении закупок.</w:t>
      </w:r>
    </w:p>
    <w:p w14:paraId="0B000000">
      <w:pPr>
        <w:tabs>
          <w:tab w:leader="none" w:pos="5529" w:val="left"/>
        </w:tabs>
        <w:ind/>
        <w:jc w:val="both"/>
        <w:rPr>
          <w:sz w:val="28"/>
        </w:rPr>
      </w:pPr>
      <w:r>
        <w:rPr>
          <w:sz w:val="28"/>
        </w:rPr>
        <w:t xml:space="preserve">    Провести оценку Реестра должностей федеральной государственной гражданской службы в Забайкалкрайстате, включенных в перечень должностей федеральной государственной гражданской службы в Забайкалкрайстате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Методических рекомендаций. В случае необходимости пересмотреть Реестр и внести необходимые  изменения.</w:t>
      </w:r>
    </w:p>
    <w:p w14:paraId="0C000000">
      <w:pPr>
        <w:tabs>
          <w:tab w:leader="none" w:pos="5529" w:val="left"/>
        </w:tabs>
        <w:ind/>
        <w:rPr>
          <w:sz w:val="28"/>
        </w:rPr>
      </w:pPr>
      <w:r>
        <w:rPr>
          <w:sz w:val="28"/>
        </w:rPr>
        <w:t xml:space="preserve">         Административному отделу:</w:t>
      </w:r>
    </w:p>
    <w:p w14:paraId="0D000000">
      <w:pPr>
        <w:tabs>
          <w:tab w:leader="none" w:pos="5529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провести анализ анкет государственных гражданских служащих в целях обобщения информации о служащем и его близких родственниках, для дальнейшего формирования профиля госслужащего, участвующего в закупочной деятельности.</w:t>
      </w:r>
    </w:p>
    <w:p w14:paraId="0E000000">
      <w:pPr>
        <w:tabs>
          <w:tab w:leader="none" w:pos="5529" w:val="left"/>
        </w:tabs>
        <w:ind/>
        <w:rPr>
          <w:sz w:val="28"/>
        </w:rPr>
      </w:pPr>
      <w:r>
        <w:rPr>
          <w:sz w:val="28"/>
        </w:rPr>
        <w:t xml:space="preserve">      </w:t>
      </w:r>
    </w:p>
    <w:p w14:paraId="0F000000">
      <w:pPr>
        <w:ind w:right="-1"/>
        <w:jc w:val="both"/>
        <w:rPr>
          <w:sz w:val="28"/>
        </w:rPr>
      </w:pPr>
      <w:r>
        <w:rPr>
          <w:sz w:val="28"/>
        </w:rPr>
        <w:t xml:space="preserve">    2. Разрешить </w:t>
      </w:r>
      <w:r>
        <w:rPr>
          <w:sz w:val="28"/>
        </w:rPr>
        <w:t>гражданск</w:t>
      </w:r>
      <w:r>
        <w:rPr>
          <w:sz w:val="28"/>
        </w:rPr>
        <w:t>ому</w:t>
      </w:r>
      <w:r>
        <w:rPr>
          <w:sz w:val="28"/>
        </w:rPr>
        <w:t xml:space="preserve"> служащ</w:t>
      </w:r>
      <w:r>
        <w:rPr>
          <w:sz w:val="28"/>
        </w:rPr>
        <w:t xml:space="preserve">ему 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ение</w:t>
      </w:r>
      <w:r>
        <w:rPr>
          <w:sz w:val="28"/>
        </w:rPr>
        <w:t xml:space="preserve"> ин</w:t>
      </w:r>
      <w:r>
        <w:rPr>
          <w:sz w:val="28"/>
        </w:rPr>
        <w:t>ой</w:t>
      </w:r>
      <w:r>
        <w:rPr>
          <w:sz w:val="28"/>
        </w:rPr>
        <w:t xml:space="preserve"> оплачиваем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 xml:space="preserve">ы. </w:t>
      </w:r>
      <w:r>
        <w:rPr>
          <w:rFonts w:ascii="Times New Roman" w:hAnsi="Times New Roman"/>
          <w:sz w:val="28"/>
        </w:rPr>
        <w:t>Выполнение иной оплачиваемой работы не повлечет за собой конфликта интересов.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539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List Paragraph"/>
    <w:basedOn w:val="Style_1"/>
    <w:link w:val="Style_7_ch"/>
    <w:pPr>
      <w:ind w:firstLine="0" w:left="720"/>
      <w:contextualSpacing w:val="1"/>
    </w:pPr>
  </w:style>
  <w:style w:styleId="Style_7_ch" w:type="character">
    <w:name w:val="List Paragraph"/>
    <w:basedOn w:val="Style_1_ch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2020-12-05T01:25:55Z</dcterms:modified>
</cp:coreProperties>
</file>